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shd w:val="solid" w:color="FFFFFF" w:fill="auto"/>
        <w:kinsoku/>
        <w:wordWrap/>
        <w:overflowPunct/>
        <w:topLinePunct w:val="0"/>
        <w:autoSpaceDE/>
        <w:autoSpaceDN w:val="0"/>
        <w:bidi w:val="0"/>
        <w:spacing w:line="600" w:lineRule="exact"/>
        <w:jc w:val="center"/>
        <w:outlineLvl w:val="0"/>
        <w:rPr>
          <w:rFonts w:hint="eastAsia" w:ascii="楷体" w:hAnsi="楷体" w:eastAsia="楷体" w:cs="楷体"/>
          <w:b/>
          <w:bCs/>
          <w:sz w:val="32"/>
          <w:shd w:val="clear" w:color="auto" w:fill="FFFFFF"/>
        </w:rPr>
      </w:pPr>
      <w:r>
        <w:rPr>
          <w:rFonts w:hint="eastAsia" w:ascii="黑体" w:hAnsi="黑体" w:eastAsia="黑体" w:cs="黑体"/>
          <w:sz w:val="32"/>
          <w:shd w:val="clear" w:color="auto" w:fill="FFFFFF"/>
          <w:lang w:val="en-US" w:eastAsia="zh-CN"/>
        </w:rPr>
        <w:t>道路与桥梁工程施工</w:t>
      </w:r>
      <w:r>
        <w:rPr>
          <w:rFonts w:hint="eastAsia" w:ascii="黑体" w:hAnsi="黑体" w:eastAsia="黑体" w:cs="黑体"/>
          <w:sz w:val="32"/>
          <w:shd w:val="clear" w:color="auto" w:fill="FFFFFF"/>
        </w:rPr>
        <w:t>专业</w:t>
      </w:r>
      <w:r>
        <w:rPr>
          <w:rFonts w:hint="eastAsia" w:ascii="黑体" w:hAnsi="黑体" w:eastAsia="黑体" w:cs="黑体"/>
          <w:sz w:val="32"/>
          <w:shd w:val="clear" w:color="auto" w:fill="FFFFFF"/>
          <w:lang w:val="en-US" w:eastAsia="zh-CN"/>
        </w:rPr>
        <w:t>可行性</w:t>
      </w:r>
      <w:r>
        <w:rPr>
          <w:rFonts w:hint="eastAsia" w:ascii="黑体" w:hAnsi="黑体" w:eastAsia="黑体" w:cs="黑体"/>
          <w:sz w:val="32"/>
          <w:shd w:val="clear" w:color="auto" w:fill="FFFFFF"/>
        </w:rPr>
        <w:t>调研分析报告</w:t>
      </w:r>
    </w:p>
    <w:p>
      <w:pPr>
        <w:numPr>
          <w:ilvl w:val="0"/>
          <w:numId w:val="1"/>
        </w:numPr>
        <w:spacing w:line="480" w:lineRule="exact"/>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项目实施的必要性分析</w:t>
      </w:r>
    </w:p>
    <w:p>
      <w:pPr>
        <w:numPr>
          <w:numId w:val="0"/>
        </w:numPr>
        <w:spacing w:line="480" w:lineRule="exact"/>
        <w:ind w:firstLine="481"/>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道路与桥梁工程施工专业培养具有良好职业道德和较强实践技能，能满足道路与桥梁工程施工项目生产一线技术技能要求，能从事一般的道路与桥梁工程施工工作的高级技术应用型人才的专业，主要从事各大、中、小型公路与桥梁现场施工项目，测量、监理、勘测设计、工程造价管理等技术负责工作。</w:t>
      </w:r>
    </w:p>
    <w:p>
      <w:pPr>
        <w:numPr>
          <w:numId w:val="0"/>
        </w:numPr>
        <w:spacing w:line="480" w:lineRule="exact"/>
        <w:ind w:firstLine="481"/>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当前，道桥施工企业正由劳动密集型向技术密集型转型，新技术、新工艺、新方法不断涌现，技术更新的周期越来越短。经过调研企业人才需求状况，施工企业在施工技术、质量检测、测量、试验、造价等工作岗位，高技能劳动者所占比例预计将不断上涨。未来几年，</w:t>
      </w:r>
      <w:r>
        <w:rPr>
          <w:rFonts w:hint="eastAsia" w:ascii="宋体" w:hAnsi="宋体" w:cs="宋体"/>
          <w:b w:val="0"/>
          <w:bCs/>
          <w:sz w:val="24"/>
          <w:szCs w:val="24"/>
          <w:highlight w:val="none"/>
          <w:lang w:val="en-US" w:eastAsia="zh-CN"/>
        </w:rPr>
        <w:t>道路与桥梁工程施工</w:t>
      </w:r>
      <w:r>
        <w:rPr>
          <w:rFonts w:hint="eastAsia" w:ascii="宋体" w:hAnsi="宋体" w:cs="宋体"/>
          <w:b w:val="0"/>
          <w:bCs/>
          <w:sz w:val="24"/>
          <w:szCs w:val="24"/>
          <w:highlight w:val="none"/>
          <w:lang w:val="en-US" w:eastAsia="zh-CN"/>
        </w:rPr>
        <w:t>专业急需既掌握熟练的操作技能，又需掌握一定专业知识的专门人才。随着国家和地方对公路基础设施建设的投资不断加大和交通产业的蓬勃发展，我校</w:t>
      </w:r>
      <w:r>
        <w:rPr>
          <w:rFonts w:hint="eastAsia" w:ascii="宋体" w:hAnsi="宋体" w:cs="宋体"/>
          <w:b w:val="0"/>
          <w:bCs/>
          <w:sz w:val="24"/>
          <w:szCs w:val="24"/>
          <w:highlight w:val="none"/>
          <w:lang w:val="en-US" w:eastAsia="zh-CN"/>
        </w:rPr>
        <w:t>道路与桥梁工程施工</w:t>
      </w:r>
      <w:r>
        <w:rPr>
          <w:rFonts w:hint="eastAsia" w:ascii="宋体" w:hAnsi="宋体" w:cs="宋体"/>
          <w:b w:val="0"/>
          <w:bCs/>
          <w:sz w:val="24"/>
          <w:szCs w:val="24"/>
          <w:highlight w:val="none"/>
          <w:lang w:val="en-US" w:eastAsia="zh-CN"/>
        </w:rPr>
        <w:t>专业将面临着更好的发展机遇，同时对本专业高技能人才培养也提出了更高的要求。</w:t>
      </w:r>
    </w:p>
    <w:p>
      <w:pPr>
        <w:numPr>
          <w:numId w:val="0"/>
        </w:numPr>
        <w:spacing w:line="480" w:lineRule="exact"/>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学院所属建工中专部是原河北省东北部唯一一所建筑工程类中等专业学校,属国家级重点。培养的毕业生占领了唐山市建筑领域技术人才的半壁江山，学校被誉为唐山建筑行业的“黄埔军校”。</w:t>
      </w:r>
    </w:p>
    <w:p>
      <w:pPr>
        <w:numPr>
          <w:numId w:val="0"/>
        </w:numPr>
        <w:spacing w:line="480" w:lineRule="exact"/>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根据国家四部委中职教育改革的措施要求，中职学校“推行顶岗实习、校企合作、顶岗实习的人才培养模式”，我院在人才培养模式上积极推进顶岗实习、社会实践的教育教学改革，激励企业参与校企合作，促进校企合作的资源共享机制；改进单独招生、订单培养等教育教学管理机制，探索适应校企合作的人才培养机制，推行“双主体三段式”新的人才培养模式改革，推行多样化合作模式。</w:t>
      </w:r>
    </w:p>
    <w:p>
      <w:pPr>
        <w:spacing w:line="360" w:lineRule="auto"/>
        <w:ind w:firstLine="480" w:firstLineChars="200"/>
        <w:rPr>
          <w:rFonts w:hint="eastAsia"/>
          <w:sz w:val="24"/>
          <w:lang w:eastAsia="zh-CN"/>
        </w:rPr>
      </w:pPr>
      <w:r>
        <w:rPr>
          <w:rFonts w:hint="eastAsia"/>
          <w:sz w:val="24"/>
          <w:lang w:val="en-US" w:eastAsia="zh-CN"/>
        </w:rPr>
        <w:t>基于以上的论证，申办道路与桥梁工程施工专业势在必行。</w:t>
      </w:r>
    </w:p>
    <w:p>
      <w:pPr>
        <w:spacing w:line="480" w:lineRule="exact"/>
        <w:rPr>
          <w:rFonts w:hint="eastAsia" w:ascii="宋体" w:hAnsi="宋体" w:eastAsia="宋体" w:cs="宋体"/>
          <w:b/>
          <w:sz w:val="24"/>
          <w:szCs w:val="24"/>
          <w:highlight w:val="none"/>
        </w:rPr>
      </w:pPr>
      <w:r>
        <w:rPr>
          <w:rFonts w:hint="eastAsia" w:ascii="宋体" w:hAnsi="宋体" w:cs="宋体"/>
          <w:b/>
          <w:sz w:val="24"/>
          <w:szCs w:val="24"/>
          <w:highlight w:val="none"/>
          <w:lang w:eastAsia="zh-CN"/>
        </w:rPr>
        <w:t>二．</w:t>
      </w:r>
      <w:r>
        <w:rPr>
          <w:rFonts w:hint="eastAsia" w:ascii="宋体" w:hAnsi="宋体" w:cs="宋体"/>
          <w:b/>
          <w:sz w:val="24"/>
          <w:szCs w:val="24"/>
          <w:highlight w:val="none"/>
          <w:lang w:val="en-US" w:eastAsia="zh-CN"/>
        </w:rPr>
        <w:t>项目实施的可行性分析</w:t>
      </w:r>
    </w:p>
    <w:p>
      <w:pPr>
        <w:spacing w:line="480" w:lineRule="exact"/>
        <w:ind w:firstLine="480" w:firstLineChars="200"/>
        <w:rPr>
          <w:rFonts w:hint="eastAsia" w:ascii="宋体" w:hAnsi="宋体"/>
          <w:sz w:val="24"/>
          <w:szCs w:val="24"/>
        </w:rPr>
      </w:pPr>
      <w:r>
        <w:rPr>
          <w:rFonts w:hint="eastAsia" w:ascii="宋体" w:hAnsi="宋体"/>
          <w:sz w:val="24"/>
          <w:szCs w:val="24"/>
        </w:rPr>
        <w:t>（一）搭建校企合作平台</w:t>
      </w:r>
    </w:p>
    <w:p>
      <w:pPr>
        <w:spacing w:line="480" w:lineRule="exact"/>
        <w:ind w:firstLine="480" w:firstLineChars="200"/>
        <w:rPr>
          <w:rFonts w:hint="eastAsia" w:ascii="宋体" w:hAnsi="宋体"/>
          <w:sz w:val="24"/>
          <w:szCs w:val="24"/>
        </w:rPr>
      </w:pPr>
      <w:r>
        <w:rPr>
          <w:rFonts w:hint="eastAsia" w:ascii="宋体" w:hAnsi="宋体"/>
          <w:sz w:val="24"/>
          <w:szCs w:val="24"/>
        </w:rPr>
        <w:t>根据国家四部委中职教育改革的措施要求，中职学校“推行</w:t>
      </w:r>
      <w:r>
        <w:rPr>
          <w:rFonts w:hint="eastAsia" w:ascii="宋体" w:hAnsi="宋体"/>
          <w:sz w:val="24"/>
          <w:szCs w:val="24"/>
          <w:lang w:eastAsia="zh-CN"/>
        </w:rPr>
        <w:t>顶岗实习</w:t>
      </w:r>
      <w:r>
        <w:rPr>
          <w:rFonts w:hint="eastAsia" w:ascii="宋体" w:hAnsi="宋体"/>
          <w:sz w:val="24"/>
          <w:szCs w:val="24"/>
        </w:rPr>
        <w:t>、校企合作、顶岗实习的人才培养模式”，我院在人才培养模式上积极推进</w:t>
      </w:r>
      <w:r>
        <w:rPr>
          <w:rFonts w:hint="eastAsia" w:ascii="宋体" w:hAnsi="宋体"/>
          <w:sz w:val="24"/>
          <w:szCs w:val="24"/>
          <w:lang w:eastAsia="zh-CN"/>
        </w:rPr>
        <w:t>顶岗实习</w:t>
      </w:r>
      <w:r>
        <w:rPr>
          <w:rFonts w:hint="eastAsia" w:ascii="宋体" w:hAnsi="宋体"/>
          <w:sz w:val="24"/>
          <w:szCs w:val="24"/>
        </w:rPr>
        <w:t>、社会实践的教育教学改革，</w:t>
      </w:r>
      <w:r>
        <w:rPr>
          <w:rFonts w:hint="eastAsia" w:ascii="宋体" w:hAnsi="宋体" w:cs="Arial"/>
          <w:kern w:val="0"/>
          <w:sz w:val="24"/>
          <w:szCs w:val="24"/>
        </w:rPr>
        <w:t>激励企业参与校企合作，促进校企合作的资源共享机制；改进单独招生、订单培养等教育教学管理机制，探索适应校企合作的人才培养机制，推行“双主体三段式”新的人才培养模式改革，推行多样化合作模式。</w:t>
      </w:r>
    </w:p>
    <w:p>
      <w:pPr>
        <w:numPr>
          <w:ilvl w:val="0"/>
          <w:numId w:val="2"/>
        </w:numPr>
        <w:spacing w:line="480" w:lineRule="exact"/>
        <w:ind w:firstLine="720" w:firstLineChars="300"/>
        <w:rPr>
          <w:rFonts w:hint="eastAsia" w:ascii="宋体" w:hAnsi="宋体"/>
          <w:sz w:val="24"/>
          <w:szCs w:val="24"/>
        </w:rPr>
      </w:pPr>
      <w:r>
        <w:rPr>
          <w:rFonts w:hint="eastAsia" w:ascii="宋体" w:hAnsi="宋体"/>
          <w:sz w:val="24"/>
          <w:szCs w:val="24"/>
        </w:rPr>
        <w:t>“订单”合作模式</w:t>
      </w:r>
      <w:r>
        <w:rPr>
          <w:rFonts w:hint="eastAsia" w:ascii="宋体" w:hAnsi="宋体"/>
          <w:sz w:val="24"/>
          <w:szCs w:val="24"/>
        </w:rPr>
        <w:br w:type="textWrapping"/>
      </w:r>
      <w:r>
        <w:rPr>
          <w:rFonts w:hint="eastAsia" w:ascii="宋体" w:hAnsi="宋体"/>
          <w:sz w:val="24"/>
          <w:szCs w:val="24"/>
        </w:rPr>
        <w:t>      招生前与企业签订联合办学协议，录取时与学生、家长签订委培用工协议，录用时与学生综合测评成绩挂钩，实现了招生与招工同步，实习与就业联体。校企双方共同制订教学计划、课程设置、实训标准；学生的基础理论课和专业理论课由学校负责完成，学生的生产实习、顶岗实习在企业完成，毕业后即参加工作实现就业，达到企业人才需求目标；具体设有定向委培班、企业订单班等。</w:t>
      </w:r>
      <w:r>
        <w:rPr>
          <w:rFonts w:hint="eastAsia" w:ascii="宋体" w:hAnsi="宋体"/>
          <w:sz w:val="24"/>
          <w:szCs w:val="24"/>
        </w:rPr>
        <w:br w:type="textWrapping"/>
      </w:r>
      <w:r>
        <w:rPr>
          <w:rFonts w:hint="eastAsia" w:ascii="宋体" w:hAnsi="宋体"/>
          <w:sz w:val="24"/>
          <w:szCs w:val="24"/>
        </w:rPr>
        <w:t xml:space="preserve">     2.工学交替模式</w:t>
      </w:r>
      <w:r>
        <w:rPr>
          <w:rFonts w:hint="eastAsia" w:ascii="宋体" w:hAnsi="宋体"/>
          <w:sz w:val="24"/>
          <w:szCs w:val="24"/>
        </w:rPr>
        <w:br w:type="textWrapping"/>
      </w:r>
      <w:r>
        <w:rPr>
          <w:rFonts w:hint="eastAsia" w:ascii="宋体" w:hAnsi="宋体"/>
          <w:sz w:val="24"/>
          <w:szCs w:val="24"/>
        </w:rPr>
        <w:t>     是企业因用工需求，向学校发出用人订单，并与学校密切合作，校企共同规划与实施的职业教育。其方式为学生在学校上理论课，在合作企业接受职业、工作技能训练，按照教学计划安排进行。</w:t>
      </w:r>
      <w:r>
        <w:rPr>
          <w:rFonts w:hint="eastAsia" w:ascii="宋体" w:hAnsi="宋体"/>
          <w:sz w:val="24"/>
          <w:szCs w:val="24"/>
        </w:rPr>
        <w:br w:type="textWrapping"/>
      </w:r>
      <w:r>
        <w:rPr>
          <w:rFonts w:hint="eastAsia" w:ascii="宋体" w:hAnsi="宋体"/>
          <w:sz w:val="24"/>
          <w:szCs w:val="24"/>
        </w:rPr>
        <w:t xml:space="preserve">     3.顶岗实习模式</w:t>
      </w:r>
      <w:r>
        <w:rPr>
          <w:rFonts w:hint="eastAsia" w:ascii="宋体" w:hAnsi="宋体"/>
          <w:sz w:val="24"/>
          <w:szCs w:val="24"/>
        </w:rPr>
        <w:br w:type="textWrapping"/>
      </w:r>
      <w:r>
        <w:rPr>
          <w:rFonts w:hint="eastAsia" w:ascii="宋体" w:hAnsi="宋体"/>
          <w:sz w:val="24"/>
          <w:szCs w:val="24"/>
        </w:rPr>
        <w:t>     即学生前二年在校完成教学计划规定的全部课程后，采用学校推荐与学生自荐的形式，到用人单位进行为期半年以上的顶岗实习。学校和用人单位共同参与管理，合作教育培养，使学生成为用人单位所需要的合格职业人。</w:t>
      </w:r>
      <w:r>
        <w:rPr>
          <w:rFonts w:hint="eastAsia" w:ascii="宋体" w:hAnsi="宋体"/>
          <w:sz w:val="24"/>
          <w:szCs w:val="24"/>
        </w:rPr>
        <w:br w:type="textWrapping"/>
      </w:r>
      <w:r>
        <w:rPr>
          <w:rFonts w:hint="eastAsia" w:ascii="宋体" w:hAnsi="宋体"/>
          <w:sz w:val="24"/>
          <w:szCs w:val="24"/>
        </w:rPr>
        <w:t xml:space="preserve">     4.产学研模式</w:t>
      </w:r>
      <w:r>
        <w:rPr>
          <w:rFonts w:hint="eastAsia" w:ascii="宋体" w:hAnsi="宋体"/>
          <w:sz w:val="24"/>
          <w:szCs w:val="24"/>
        </w:rPr>
        <w:br w:type="textWrapping"/>
      </w:r>
      <w:r>
        <w:rPr>
          <w:rFonts w:hint="eastAsia" w:ascii="宋体" w:hAnsi="宋体"/>
          <w:sz w:val="24"/>
          <w:szCs w:val="24"/>
        </w:rPr>
        <w:t>     发挥专业师资优势，加强校企合作研发，帮助中小型企业解决相关的科研难题，走“利用专业优势办专业，办好产业促专业”的新思路，使专业建设与产业发展紧密结合，帮助中小型企业走健康发展之路。</w:t>
      </w:r>
      <w:r>
        <w:rPr>
          <w:rFonts w:hint="eastAsia" w:ascii="宋体" w:hAnsi="宋体"/>
          <w:sz w:val="24"/>
          <w:szCs w:val="24"/>
        </w:rPr>
        <w:br w:type="textWrapping"/>
      </w:r>
      <w:r>
        <w:rPr>
          <w:rFonts w:hint="eastAsia" w:ascii="宋体" w:hAnsi="宋体"/>
          <w:sz w:val="24"/>
          <w:szCs w:val="24"/>
        </w:rPr>
        <w:t xml:space="preserve">     5.共建校外实习基地</w:t>
      </w:r>
      <w:r>
        <w:rPr>
          <w:rFonts w:hint="eastAsia" w:ascii="宋体" w:hAnsi="宋体"/>
          <w:sz w:val="24"/>
          <w:szCs w:val="24"/>
        </w:rPr>
        <w:br w:type="textWrapping"/>
      </w:r>
      <w:r>
        <w:rPr>
          <w:rFonts w:hint="eastAsia" w:ascii="宋体" w:hAnsi="宋体"/>
          <w:sz w:val="24"/>
          <w:szCs w:val="24"/>
        </w:rPr>
        <w:t>     根据专业设置和实习教学需求，本着“优势互补，互惠互利”的原则在有发展前景又有合作意向的企业建立校外实习基地。这些基地不仅可成为师生接触社会、了解企业的重要阵地，而且学校可以利用基地的条件培养学生职业素质、动手能力和创新精神，增加专业教师接触专业实践的机会，促进专业教师技能提高；基地也可以从实习生中优先选拔优秀人才，满足企业日益增长的用工需求，达到“双赢”的效果。</w:t>
      </w:r>
      <w:r>
        <w:rPr>
          <w:rFonts w:hint="eastAsia" w:ascii="宋体" w:hAnsi="宋体"/>
          <w:sz w:val="24"/>
          <w:szCs w:val="24"/>
        </w:rPr>
        <w:br w:type="textWrapping"/>
      </w:r>
      <w:r>
        <w:rPr>
          <w:rFonts w:hint="eastAsia" w:ascii="宋体" w:hAnsi="宋体"/>
          <w:sz w:val="24"/>
          <w:szCs w:val="24"/>
        </w:rPr>
        <w:t xml:space="preserve">      6.成立专业教学指导委员会</w:t>
      </w:r>
      <w:r>
        <w:rPr>
          <w:rFonts w:hint="eastAsia" w:ascii="宋体" w:hAnsi="宋体"/>
          <w:sz w:val="24"/>
          <w:szCs w:val="24"/>
        </w:rPr>
        <w:br w:type="textWrapping"/>
      </w:r>
      <w:r>
        <w:rPr>
          <w:rFonts w:hint="eastAsia" w:ascii="宋体" w:hAnsi="宋体"/>
          <w:sz w:val="24"/>
          <w:szCs w:val="24"/>
        </w:rPr>
        <w:t>    聘请行业专家、企业领导与学校教师共同组建"专业教学指导委员会"。明确专业人才的培养目标，确定专业教学计划的方案，提供市场人才需求信息，参与教学计划的制定和调整，根据企业、行业的用工要求及时调整学校的专业计划和实训计划。</w:t>
      </w:r>
    </w:p>
    <w:p>
      <w:pPr>
        <w:numPr>
          <w:ilvl w:val="0"/>
          <w:numId w:val="0"/>
        </w:numPr>
        <w:spacing w:line="480" w:lineRule="exact"/>
        <w:rPr>
          <w:rFonts w:hint="eastAsia" w:ascii="宋体" w:hAnsi="宋体"/>
          <w:sz w:val="24"/>
          <w:szCs w:val="24"/>
        </w:rPr>
      </w:pPr>
      <w:r>
        <w:rPr>
          <w:rFonts w:hint="eastAsia" w:ascii="宋体" w:hAnsi="宋体"/>
          <w:sz w:val="24"/>
          <w:szCs w:val="24"/>
        </w:rPr>
        <w:t xml:space="preserve">（二）实训条件配置保障  </w:t>
      </w:r>
    </w:p>
    <w:p>
      <w:pPr>
        <w:spacing w:line="480" w:lineRule="exact"/>
        <w:ind w:firstLine="480" w:firstLineChars="200"/>
        <w:rPr>
          <w:rFonts w:hint="eastAsia" w:ascii="宋体" w:hAnsi="宋体" w:eastAsia="宋体"/>
          <w:sz w:val="24"/>
          <w:szCs w:val="24"/>
          <w:lang w:eastAsia="zh-CN"/>
        </w:rPr>
      </w:pPr>
      <w:r>
        <w:rPr>
          <w:rFonts w:ascii="宋体" w:hAnsi="宋体"/>
          <w:sz w:val="24"/>
          <w:szCs w:val="24"/>
        </w:rPr>
        <w:t>1</w:t>
      </w:r>
      <w:r>
        <w:rPr>
          <w:rFonts w:hint="eastAsia" w:ascii="宋体" w:hAnsi="宋体"/>
          <w:sz w:val="24"/>
          <w:szCs w:val="24"/>
        </w:rPr>
        <w:t>．</w:t>
      </w:r>
      <w:r>
        <w:rPr>
          <w:rFonts w:hint="eastAsia" w:ascii="宋体" w:hAnsi="宋体"/>
          <w:sz w:val="24"/>
          <w:szCs w:val="24"/>
          <w:lang w:eastAsia="zh-CN"/>
        </w:rPr>
        <w:t>综合实训</w:t>
      </w:r>
    </w:p>
    <w:tbl>
      <w:tblPr>
        <w:tblStyle w:val="3"/>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22"/>
        <w:gridCol w:w="1849"/>
        <w:gridCol w:w="546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7" w:hRule="atLeast"/>
        </w:trPr>
        <w:tc>
          <w:tcPr>
            <w:tcW w:w="822" w:type="dxa"/>
            <w:noWrap w:val="0"/>
            <w:vAlign w:val="top"/>
          </w:tcPr>
          <w:p>
            <w:pPr>
              <w:pStyle w:val="5"/>
              <w:spacing w:before="83"/>
              <w:ind w:left="140" w:right="130"/>
              <w:jc w:val="center"/>
              <w:rPr>
                <w:sz w:val="18"/>
              </w:rPr>
            </w:pPr>
            <w:r>
              <w:rPr>
                <w:color w:val="231F20"/>
                <w:sz w:val="18"/>
              </w:rPr>
              <w:t>序号</w:t>
            </w:r>
          </w:p>
        </w:tc>
        <w:tc>
          <w:tcPr>
            <w:tcW w:w="1849" w:type="dxa"/>
            <w:noWrap w:val="0"/>
            <w:vAlign w:val="top"/>
          </w:tcPr>
          <w:p>
            <w:pPr>
              <w:pStyle w:val="5"/>
              <w:spacing w:before="83"/>
              <w:ind w:left="126"/>
              <w:rPr>
                <w:sz w:val="18"/>
              </w:rPr>
            </w:pPr>
            <w:r>
              <w:rPr>
                <w:color w:val="231F20"/>
                <w:spacing w:val="-23"/>
                <w:sz w:val="18"/>
              </w:rPr>
              <w:t>专业</w:t>
            </w:r>
            <w:r>
              <w:rPr>
                <w:color w:val="231F20"/>
                <w:spacing w:val="-36"/>
                <w:sz w:val="18"/>
              </w:rPr>
              <w:t>（</w:t>
            </w:r>
            <w:r>
              <w:rPr>
                <w:color w:val="231F20"/>
                <w:spacing w:val="-18"/>
                <w:sz w:val="18"/>
              </w:rPr>
              <w:t>技能</w:t>
            </w:r>
            <w:r>
              <w:rPr>
                <w:color w:val="231F20"/>
                <w:spacing w:val="-45"/>
                <w:sz w:val="18"/>
              </w:rPr>
              <w:t>）</w:t>
            </w:r>
            <w:r>
              <w:rPr>
                <w:color w:val="231F20"/>
                <w:sz w:val="18"/>
              </w:rPr>
              <w:t>方向</w:t>
            </w:r>
          </w:p>
        </w:tc>
        <w:tc>
          <w:tcPr>
            <w:tcW w:w="5468" w:type="dxa"/>
            <w:noWrap w:val="0"/>
            <w:vAlign w:val="top"/>
          </w:tcPr>
          <w:p>
            <w:pPr>
              <w:pStyle w:val="5"/>
              <w:spacing w:before="83"/>
              <w:ind w:left="1883" w:right="1870"/>
              <w:jc w:val="center"/>
              <w:rPr>
                <w:sz w:val="18"/>
              </w:rPr>
            </w:pPr>
            <w:r>
              <w:rPr>
                <w:color w:val="231F20"/>
                <w:sz w:val="18"/>
              </w:rPr>
              <w:t>主要内容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845" w:hRule="atLeast"/>
        </w:trPr>
        <w:tc>
          <w:tcPr>
            <w:tcW w:w="822" w:type="dxa"/>
            <w:noWrap w:val="0"/>
            <w:vAlign w:val="top"/>
          </w:tcPr>
          <w:p>
            <w:pPr>
              <w:pStyle w:val="5"/>
              <w:rPr>
                <w:sz w:val="20"/>
              </w:rPr>
            </w:pPr>
          </w:p>
          <w:p>
            <w:pPr>
              <w:pStyle w:val="5"/>
              <w:spacing w:before="3"/>
              <w:rPr>
                <w:sz w:val="23"/>
              </w:rPr>
            </w:pPr>
          </w:p>
          <w:p>
            <w:pPr>
              <w:pStyle w:val="5"/>
              <w:ind w:left="10"/>
              <w:jc w:val="center"/>
              <w:rPr>
                <w:sz w:val="18"/>
              </w:rPr>
            </w:pPr>
            <w:r>
              <w:rPr>
                <w:color w:val="231F20"/>
                <w:w w:val="113"/>
                <w:sz w:val="18"/>
              </w:rPr>
              <w:t>1</w:t>
            </w:r>
          </w:p>
        </w:tc>
        <w:tc>
          <w:tcPr>
            <w:tcW w:w="1849" w:type="dxa"/>
            <w:noWrap w:val="0"/>
            <w:vAlign w:val="top"/>
          </w:tcPr>
          <w:p>
            <w:pPr>
              <w:pStyle w:val="5"/>
              <w:rPr>
                <w:sz w:val="20"/>
              </w:rPr>
            </w:pPr>
          </w:p>
          <w:p>
            <w:pPr>
              <w:pStyle w:val="5"/>
              <w:spacing w:before="3"/>
              <w:rPr>
                <w:sz w:val="13"/>
              </w:rPr>
            </w:pPr>
          </w:p>
          <w:p>
            <w:pPr>
              <w:pStyle w:val="5"/>
              <w:spacing w:line="266" w:lineRule="auto"/>
              <w:ind w:left="257" w:right="212" w:hanging="33"/>
              <w:rPr>
                <w:sz w:val="18"/>
              </w:rPr>
            </w:pPr>
            <w:r>
              <w:rPr>
                <w:color w:val="231F20"/>
                <w:sz w:val="18"/>
              </w:rPr>
              <w:t>道路工程识图与 CAD 实训</w:t>
            </w:r>
          </w:p>
        </w:tc>
        <w:tc>
          <w:tcPr>
            <w:tcW w:w="5468" w:type="dxa"/>
            <w:noWrap w:val="0"/>
            <w:vAlign w:val="top"/>
          </w:tcPr>
          <w:p>
            <w:pPr>
              <w:pStyle w:val="5"/>
              <w:spacing w:before="16" w:line="280" w:lineRule="atLeast"/>
              <w:ind w:left="74" w:right="-29" w:firstLine="187"/>
              <w:rPr>
                <w:sz w:val="18"/>
              </w:rPr>
            </w:pPr>
            <w:r>
              <w:rPr>
                <w:color w:val="231F20"/>
                <w:sz w:val="18"/>
              </w:rPr>
              <w:t>正确选择模型主视图、俯视图和左视图，完整、清晰</w:t>
            </w:r>
            <w:r>
              <w:rPr>
                <w:color w:val="231F20"/>
                <w:spacing w:val="-3"/>
                <w:sz w:val="18"/>
              </w:rPr>
              <w:t xml:space="preserve">地表达模型的内外形状并标注尺寸；读组合体的三视图， </w:t>
            </w:r>
            <w:r>
              <w:rPr>
                <w:color w:val="231F20"/>
                <w:spacing w:val="-18"/>
                <w:sz w:val="18"/>
              </w:rPr>
              <w:t xml:space="preserve">摆积木造型；手绘道路平面线形图、纵断面图、横断面图； </w:t>
            </w:r>
            <w:r>
              <w:rPr>
                <w:color w:val="231F20"/>
                <w:spacing w:val="7"/>
                <w:sz w:val="18"/>
              </w:rPr>
              <w:t xml:space="preserve">运用 </w:t>
            </w:r>
            <w:r>
              <w:rPr>
                <w:color w:val="231F20"/>
                <w:sz w:val="18"/>
              </w:rPr>
              <w:t>AutoCAD</w:t>
            </w:r>
            <w:r>
              <w:rPr>
                <w:color w:val="231F20"/>
                <w:spacing w:val="2"/>
                <w:sz w:val="18"/>
              </w:rPr>
              <w:t xml:space="preserve"> 软件绘制桥梁正立面图、桥梁下部结构图、桥梁上部结构图并标注尺寸</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061" w:hRule="atLeast"/>
        </w:trPr>
        <w:tc>
          <w:tcPr>
            <w:tcW w:w="822" w:type="dxa"/>
            <w:noWrap w:val="0"/>
            <w:vAlign w:val="top"/>
          </w:tcPr>
          <w:p>
            <w:pPr>
              <w:pStyle w:val="5"/>
              <w:spacing w:before="3"/>
              <w:rPr>
                <w:sz w:val="23"/>
              </w:rPr>
            </w:pPr>
          </w:p>
          <w:p>
            <w:pPr>
              <w:pStyle w:val="5"/>
              <w:ind w:left="9"/>
              <w:jc w:val="center"/>
              <w:rPr>
                <w:sz w:val="18"/>
              </w:rPr>
            </w:pPr>
            <w:r>
              <w:rPr>
                <w:color w:val="231F20"/>
                <w:w w:val="113"/>
                <w:sz w:val="18"/>
              </w:rPr>
              <w:t>2</w:t>
            </w:r>
          </w:p>
        </w:tc>
        <w:tc>
          <w:tcPr>
            <w:tcW w:w="1849" w:type="dxa"/>
            <w:noWrap w:val="0"/>
            <w:vAlign w:val="top"/>
          </w:tcPr>
          <w:p>
            <w:pPr>
              <w:pStyle w:val="5"/>
              <w:spacing w:before="17" w:line="280" w:lineRule="atLeast"/>
              <w:ind w:left="135" w:right="77"/>
              <w:rPr>
                <w:sz w:val="18"/>
              </w:rPr>
            </w:pPr>
            <w:r>
              <w:rPr>
                <w:color w:val="231F20"/>
                <w:sz w:val="18"/>
              </w:rPr>
              <w:t>道路施工测量实训（道路与桥梁工程测量方向）</w:t>
            </w:r>
          </w:p>
        </w:tc>
        <w:tc>
          <w:tcPr>
            <w:tcW w:w="5468" w:type="dxa"/>
            <w:noWrap w:val="0"/>
            <w:vAlign w:val="top"/>
          </w:tcPr>
          <w:p>
            <w:pPr>
              <w:pStyle w:val="5"/>
              <w:spacing w:before="17" w:line="280" w:lineRule="atLeast"/>
              <w:ind w:left="74" w:right="-29" w:firstLine="187"/>
              <w:rPr>
                <w:sz w:val="18"/>
              </w:rPr>
            </w:pPr>
            <w:r>
              <w:rPr>
                <w:color w:val="231F20"/>
                <w:spacing w:val="-1"/>
                <w:sz w:val="18"/>
              </w:rPr>
              <w:t>熟悉各类测量仪器的操作方法；熟悉测量技术规范和</w:t>
            </w:r>
            <w:r>
              <w:rPr>
                <w:color w:val="231F20"/>
                <w:sz w:val="18"/>
              </w:rPr>
              <w:t>规程；掌握测量数据处理的方法；运用全站仪、GPS</w:t>
            </w:r>
            <w:r>
              <w:rPr>
                <w:color w:val="231F20"/>
                <w:spacing w:val="-11"/>
                <w:sz w:val="18"/>
              </w:rPr>
              <w:t>、</w:t>
            </w:r>
            <w:r>
              <w:rPr>
                <w:color w:val="231F20"/>
                <w:sz w:val="18"/>
              </w:rPr>
              <w:t>水准仪等测量仪器进行测量放样，提高实际动手能力</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543" w:hRule="atLeast"/>
        </w:trPr>
        <w:tc>
          <w:tcPr>
            <w:tcW w:w="822" w:type="dxa"/>
            <w:noWrap w:val="0"/>
            <w:vAlign w:val="top"/>
          </w:tcPr>
          <w:p>
            <w:pPr>
              <w:pStyle w:val="5"/>
              <w:rPr>
                <w:sz w:val="20"/>
              </w:rPr>
            </w:pPr>
          </w:p>
          <w:p>
            <w:pPr>
              <w:pStyle w:val="5"/>
              <w:spacing w:before="3"/>
              <w:rPr>
                <w:sz w:val="13"/>
              </w:rPr>
            </w:pPr>
          </w:p>
          <w:p>
            <w:pPr>
              <w:pStyle w:val="5"/>
              <w:spacing w:before="1"/>
              <w:ind w:left="9"/>
              <w:jc w:val="center"/>
              <w:rPr>
                <w:sz w:val="18"/>
              </w:rPr>
            </w:pPr>
            <w:r>
              <w:rPr>
                <w:color w:val="231F20"/>
                <w:w w:val="112"/>
                <w:sz w:val="18"/>
              </w:rPr>
              <w:t>3</w:t>
            </w:r>
          </w:p>
        </w:tc>
        <w:tc>
          <w:tcPr>
            <w:tcW w:w="1849" w:type="dxa"/>
            <w:noWrap w:val="0"/>
            <w:vAlign w:val="top"/>
          </w:tcPr>
          <w:p>
            <w:pPr>
              <w:pStyle w:val="5"/>
              <w:spacing w:before="45" w:line="266" w:lineRule="auto"/>
              <w:ind w:left="225" w:right="122" w:hanging="90"/>
              <w:rPr>
                <w:sz w:val="18"/>
              </w:rPr>
            </w:pPr>
            <w:r>
              <w:rPr>
                <w:color w:val="231F20"/>
                <w:spacing w:val="-3"/>
                <w:sz w:val="18"/>
              </w:rPr>
              <w:t>道路与桥梁工程</w:t>
            </w:r>
            <w:r>
              <w:rPr>
                <w:color w:val="231F20"/>
                <w:sz w:val="18"/>
              </w:rPr>
              <w:t>试验检测实训</w:t>
            </w:r>
          </w:p>
          <w:p>
            <w:pPr>
              <w:pStyle w:val="5"/>
              <w:spacing w:before="2"/>
              <w:ind w:left="180"/>
              <w:rPr>
                <w:sz w:val="18"/>
              </w:rPr>
            </w:pPr>
            <w:r>
              <w:rPr>
                <w:color w:val="231F20"/>
                <w:sz w:val="18"/>
              </w:rPr>
              <w:t>（道路与桥梁</w:t>
            </w:r>
          </w:p>
          <w:p>
            <w:pPr>
              <w:pStyle w:val="5"/>
              <w:spacing w:before="28"/>
              <w:ind w:left="180"/>
              <w:rPr>
                <w:sz w:val="18"/>
              </w:rPr>
            </w:pPr>
            <w:r>
              <w:rPr>
                <w:color w:val="231F20"/>
                <w:sz w:val="18"/>
              </w:rPr>
              <w:t>试验检测方向）</w:t>
            </w:r>
          </w:p>
        </w:tc>
        <w:tc>
          <w:tcPr>
            <w:tcW w:w="5468" w:type="dxa"/>
            <w:noWrap w:val="0"/>
            <w:vAlign w:val="top"/>
          </w:tcPr>
          <w:p>
            <w:pPr>
              <w:pStyle w:val="5"/>
              <w:spacing w:before="17" w:line="280" w:lineRule="atLeast"/>
              <w:ind w:left="74" w:right="-29" w:firstLine="187"/>
              <w:rPr>
                <w:sz w:val="18"/>
              </w:rPr>
            </w:pPr>
            <w:r>
              <w:rPr>
                <w:color w:val="231F20"/>
                <w:sz w:val="18"/>
              </w:rPr>
              <w:t>进行原材料试验，编写试验报告，提高学生实际动手</w:t>
            </w:r>
            <w:r>
              <w:rPr>
                <w:color w:val="231F20"/>
                <w:spacing w:val="-3"/>
                <w:sz w:val="18"/>
              </w:rPr>
              <w:t>能力；进行复合材料配合比设计，提高分析问题、解决</w:t>
            </w:r>
            <w:r>
              <w:rPr>
                <w:color w:val="231F20"/>
                <w:spacing w:val="-8"/>
                <w:sz w:val="18"/>
              </w:rPr>
              <w:t>问题的能力；对已完工的某结构层，进行工程质量验收， 出具验收报告</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895" w:hRule="atLeast"/>
        </w:trPr>
        <w:tc>
          <w:tcPr>
            <w:tcW w:w="822" w:type="dxa"/>
            <w:noWrap w:val="0"/>
            <w:vAlign w:val="top"/>
          </w:tcPr>
          <w:p>
            <w:pPr>
              <w:pStyle w:val="5"/>
              <w:rPr>
                <w:sz w:val="20"/>
              </w:rPr>
            </w:pPr>
          </w:p>
          <w:p>
            <w:pPr>
              <w:pStyle w:val="5"/>
              <w:spacing w:before="4"/>
              <w:rPr>
                <w:sz w:val="23"/>
              </w:rPr>
            </w:pPr>
          </w:p>
          <w:p>
            <w:pPr>
              <w:pStyle w:val="5"/>
              <w:ind w:left="9"/>
              <w:jc w:val="center"/>
              <w:rPr>
                <w:sz w:val="18"/>
              </w:rPr>
            </w:pPr>
            <w:r>
              <w:rPr>
                <w:color w:val="231F20"/>
                <w:w w:val="116"/>
                <w:sz w:val="18"/>
              </w:rPr>
              <w:t>4</w:t>
            </w:r>
          </w:p>
        </w:tc>
        <w:tc>
          <w:tcPr>
            <w:tcW w:w="1849" w:type="dxa"/>
            <w:noWrap w:val="0"/>
            <w:vAlign w:val="top"/>
          </w:tcPr>
          <w:p>
            <w:pPr>
              <w:pStyle w:val="5"/>
              <w:spacing w:before="4"/>
              <w:rPr>
                <w:sz w:val="13"/>
              </w:rPr>
            </w:pPr>
          </w:p>
          <w:p>
            <w:pPr>
              <w:pStyle w:val="5"/>
              <w:spacing w:line="266" w:lineRule="auto"/>
              <w:ind w:left="405" w:right="122" w:hanging="270"/>
              <w:rPr>
                <w:sz w:val="18"/>
              </w:rPr>
            </w:pPr>
            <w:r>
              <w:rPr>
                <w:color w:val="231F20"/>
                <w:sz w:val="18"/>
              </w:rPr>
              <w:t>道路与桥梁工程施工实训</w:t>
            </w:r>
          </w:p>
          <w:p>
            <w:pPr>
              <w:pStyle w:val="5"/>
              <w:spacing w:before="1" w:line="266" w:lineRule="auto"/>
              <w:ind w:left="360" w:right="257" w:hanging="180"/>
              <w:rPr>
                <w:sz w:val="18"/>
              </w:rPr>
            </w:pPr>
            <w:r>
              <w:rPr>
                <w:color w:val="231F20"/>
                <w:sz w:val="18"/>
              </w:rPr>
              <w:t>（道路与桥梁施工方向）</w:t>
            </w:r>
          </w:p>
        </w:tc>
        <w:tc>
          <w:tcPr>
            <w:tcW w:w="5468" w:type="dxa"/>
            <w:noWrap w:val="0"/>
            <w:vAlign w:val="top"/>
          </w:tcPr>
          <w:p>
            <w:pPr>
              <w:pStyle w:val="5"/>
              <w:spacing w:before="18" w:line="280" w:lineRule="atLeast"/>
              <w:ind w:left="74" w:right="-29" w:firstLine="187"/>
              <w:rPr>
                <w:sz w:val="18"/>
              </w:rPr>
            </w:pPr>
            <w:r>
              <w:rPr>
                <w:color w:val="231F20"/>
                <w:sz w:val="18"/>
              </w:rPr>
              <w:t>熟悉土方路基填筑工艺及各种土方机械的作用，熟悉</w:t>
            </w:r>
            <w:r>
              <w:rPr>
                <w:color w:val="231F20"/>
                <w:spacing w:val="-1"/>
                <w:sz w:val="18"/>
              </w:rPr>
              <w:t>挖方路基土方开挖工艺；熟悉各类基层的施工工艺及面</w:t>
            </w:r>
            <w:r>
              <w:rPr>
                <w:color w:val="231F20"/>
                <w:spacing w:val="-2"/>
                <w:sz w:val="18"/>
              </w:rPr>
              <w:t>层的施工方法；熟悉桥梁施工工艺、施工材料、施工机</w:t>
            </w:r>
            <w:r>
              <w:rPr>
                <w:color w:val="231F20"/>
                <w:spacing w:val="2"/>
                <w:sz w:val="18"/>
              </w:rPr>
              <w:t>械和现代化施工管理办法；参加现场组织的图纸绘审、</w:t>
            </w:r>
            <w:r>
              <w:rPr>
                <w:color w:val="231F20"/>
                <w:sz w:val="18"/>
              </w:rPr>
              <w:t>技术交流、工作例会等技术准备活动</w:t>
            </w:r>
          </w:p>
        </w:tc>
      </w:tr>
    </w:tbl>
    <w:p>
      <w:pPr>
        <w:spacing w:line="480" w:lineRule="exact"/>
        <w:ind w:firstLine="480" w:firstLineChars="200"/>
        <w:rPr>
          <w:rFonts w:hint="eastAsia" w:ascii="宋体" w:hAnsi="宋体"/>
          <w:sz w:val="24"/>
          <w:szCs w:val="24"/>
        </w:rPr>
      </w:pP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.建立稳定“</w:t>
      </w:r>
      <w:r>
        <w:rPr>
          <w:rFonts w:hint="eastAsia" w:ascii="宋体" w:hAnsi="宋体" w:eastAsia="宋体" w:cs="宋体"/>
          <w:sz w:val="24"/>
          <w:szCs w:val="24"/>
          <w:lang w:eastAsia="zh-CN"/>
        </w:rPr>
        <w:t>顶岗实习</w:t>
      </w:r>
      <w:r>
        <w:rPr>
          <w:rFonts w:hint="eastAsia" w:ascii="宋体" w:hAnsi="宋体" w:eastAsia="宋体" w:cs="宋体"/>
          <w:sz w:val="24"/>
          <w:szCs w:val="24"/>
        </w:rPr>
        <w:t>”校外实习基地的长效机制</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建立社会、行业企业等多元参与的办学机制和校企合作运行机制，促进</w:t>
      </w:r>
      <w:r>
        <w:rPr>
          <w:rFonts w:hint="eastAsia" w:ascii="宋体" w:hAnsi="宋体" w:eastAsia="宋体" w:cs="宋体"/>
          <w:sz w:val="24"/>
          <w:szCs w:val="24"/>
          <w:lang w:eastAsia="zh-CN"/>
        </w:rPr>
        <w:t>顶岗实习</w:t>
      </w:r>
      <w:r>
        <w:rPr>
          <w:rFonts w:hint="eastAsia" w:ascii="宋体" w:hAnsi="宋体" w:eastAsia="宋体" w:cs="宋体"/>
          <w:sz w:val="24"/>
          <w:szCs w:val="24"/>
        </w:rPr>
        <w:t>、产教结合的深入开展。加强校内外实训基地建设，满足实训教学需求。建全各项制度，与企业共同建立过程质量监控和人才评价体系；将企业文化引入学校，实现校企文化的有效对接。</w:t>
      </w:r>
    </w:p>
    <w:p>
      <w:pPr>
        <w:spacing w:line="48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⑴校企共同签订</w:t>
      </w:r>
      <w:r>
        <w:rPr>
          <w:rFonts w:hint="eastAsia" w:ascii="宋体" w:hAnsi="宋体" w:eastAsia="宋体" w:cs="宋体"/>
          <w:sz w:val="24"/>
          <w:szCs w:val="24"/>
          <w:lang w:eastAsia="zh-CN"/>
        </w:rPr>
        <w:t>顶岗实习</w:t>
      </w:r>
      <w:r>
        <w:rPr>
          <w:rFonts w:hint="eastAsia" w:ascii="宋体" w:hAnsi="宋体" w:eastAsia="宋体" w:cs="宋体"/>
          <w:sz w:val="24"/>
          <w:szCs w:val="24"/>
        </w:rPr>
        <w:t>、校企合作、顶岗实习等各项协议。</w:t>
      </w:r>
    </w:p>
    <w:p>
      <w:pPr>
        <w:spacing w:line="48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⑵定期招开企业座谈会，建立、健全学生</w:t>
      </w:r>
      <w:r>
        <w:rPr>
          <w:rFonts w:hint="eastAsia" w:ascii="宋体" w:hAnsi="宋体" w:eastAsia="宋体" w:cs="宋体"/>
          <w:sz w:val="24"/>
          <w:szCs w:val="24"/>
          <w:lang w:eastAsia="zh-CN"/>
        </w:rPr>
        <w:t>顶岗实习</w:t>
      </w:r>
      <w:r>
        <w:rPr>
          <w:rFonts w:hint="eastAsia" w:ascii="宋体" w:hAnsi="宋体" w:eastAsia="宋体" w:cs="宋体"/>
          <w:sz w:val="24"/>
          <w:szCs w:val="24"/>
        </w:rPr>
        <w:t>、校企合作、顶岗实习等各项规章制度。</w:t>
      </w:r>
    </w:p>
    <w:p>
      <w:pPr>
        <w:spacing w:line="48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⑶与企业共同完成适合本专业“</w:t>
      </w:r>
      <w:r>
        <w:rPr>
          <w:rFonts w:hint="eastAsia" w:ascii="宋体" w:hAnsi="宋体" w:eastAsia="宋体" w:cs="宋体"/>
          <w:sz w:val="24"/>
          <w:szCs w:val="24"/>
          <w:lang w:eastAsia="zh-CN"/>
        </w:rPr>
        <w:t>顶岗实习</w:t>
      </w:r>
      <w:r>
        <w:rPr>
          <w:rFonts w:hint="eastAsia" w:ascii="宋体" w:hAnsi="宋体" w:eastAsia="宋体" w:cs="宋体"/>
          <w:sz w:val="24"/>
          <w:szCs w:val="24"/>
        </w:rPr>
        <w:t>、顶岗实习”的典型实训课题实施方案。例如：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车间进校园，将企业岗位任务引入实训课题，做到课题与产品对接；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企业课堂，把工厂车间当做课堂，进行岗位现场教学，做到学校与企业对接。</w:t>
      </w:r>
    </w:p>
    <w:p>
      <w:pPr>
        <w:spacing w:line="480" w:lineRule="exact"/>
        <w:ind w:firstLine="600" w:firstLineChars="250"/>
        <w:rPr>
          <w:rFonts w:hint="eastAsia"/>
          <w:sz w:val="28"/>
          <w:szCs w:val="28"/>
        </w:rPr>
      </w:pPr>
      <w:r>
        <w:rPr>
          <w:rFonts w:hint="eastAsia" w:ascii="宋体" w:hAnsi="宋体" w:eastAsia="宋体" w:cs="宋体"/>
          <w:sz w:val="24"/>
          <w:szCs w:val="24"/>
        </w:rPr>
        <w:t>⑷与合作企业互派教师和技术人员共同参与课题研究和技术攻关。</w:t>
      </w:r>
    </w:p>
    <w:p>
      <w:pPr>
        <w:rPr>
          <w:rFonts w:hint="eastAsia" w:eastAsia="宋体"/>
          <w:sz w:val="28"/>
          <w:szCs w:val="28"/>
          <w:lang w:eastAsia="zh-CN"/>
        </w:rPr>
      </w:pPr>
      <w:r>
        <w:rPr>
          <w:rFonts w:hint="eastAsia" w:ascii="宋体" w:hAnsi="宋体"/>
          <w:sz w:val="24"/>
          <w:szCs w:val="24"/>
        </w:rPr>
        <w:t>2.</w:t>
      </w:r>
      <w:r>
        <w:rPr>
          <w:rFonts w:hint="eastAsia" w:ascii="宋体" w:hAnsi="宋体"/>
          <w:sz w:val="24"/>
          <w:szCs w:val="24"/>
          <w:lang w:eastAsia="zh-CN"/>
        </w:rPr>
        <w:t>顶岗实习</w:t>
      </w:r>
    </w:p>
    <w:tbl>
      <w:tblPr>
        <w:tblStyle w:val="3"/>
        <w:tblpPr w:leftFromText="180" w:rightFromText="180" w:vertAnchor="text" w:horzAnchor="page" w:tblpX="1779" w:tblpY="174"/>
        <w:tblOverlap w:val="never"/>
        <w:tblW w:w="8299" w:type="dxa"/>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37"/>
        <w:gridCol w:w="1886"/>
        <w:gridCol w:w="5576"/>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6" w:hRule="atLeast"/>
        </w:trPr>
        <w:tc>
          <w:tcPr>
            <w:tcW w:w="837" w:type="dxa"/>
            <w:noWrap w:val="0"/>
            <w:vAlign w:val="top"/>
          </w:tcPr>
          <w:p>
            <w:pPr>
              <w:pStyle w:val="5"/>
              <w:spacing w:before="83"/>
              <w:ind w:left="140" w:right="130"/>
              <w:jc w:val="center"/>
              <w:rPr>
                <w:sz w:val="18"/>
              </w:rPr>
            </w:pPr>
            <w:r>
              <w:rPr>
                <w:color w:val="231F20"/>
                <w:sz w:val="18"/>
              </w:rPr>
              <w:t>序号</w:t>
            </w:r>
          </w:p>
        </w:tc>
        <w:tc>
          <w:tcPr>
            <w:tcW w:w="1886" w:type="dxa"/>
            <w:noWrap w:val="0"/>
            <w:vAlign w:val="top"/>
          </w:tcPr>
          <w:p>
            <w:pPr>
              <w:pStyle w:val="5"/>
              <w:spacing w:before="83"/>
              <w:ind w:left="126"/>
              <w:rPr>
                <w:sz w:val="18"/>
              </w:rPr>
            </w:pPr>
            <w:r>
              <w:rPr>
                <w:color w:val="231F20"/>
                <w:spacing w:val="-23"/>
                <w:sz w:val="18"/>
              </w:rPr>
              <w:t>专业</w:t>
            </w:r>
            <w:r>
              <w:rPr>
                <w:color w:val="231F20"/>
                <w:spacing w:val="-36"/>
                <w:sz w:val="18"/>
              </w:rPr>
              <w:t>（</w:t>
            </w:r>
            <w:r>
              <w:rPr>
                <w:color w:val="231F20"/>
                <w:spacing w:val="-18"/>
                <w:sz w:val="18"/>
              </w:rPr>
              <w:t>技能</w:t>
            </w:r>
            <w:r>
              <w:rPr>
                <w:color w:val="231F20"/>
                <w:spacing w:val="-45"/>
                <w:sz w:val="18"/>
              </w:rPr>
              <w:t>）</w:t>
            </w:r>
            <w:r>
              <w:rPr>
                <w:color w:val="231F20"/>
                <w:sz w:val="18"/>
              </w:rPr>
              <w:t>方向</w:t>
            </w:r>
          </w:p>
        </w:tc>
        <w:tc>
          <w:tcPr>
            <w:tcW w:w="5576" w:type="dxa"/>
            <w:noWrap w:val="0"/>
            <w:vAlign w:val="top"/>
          </w:tcPr>
          <w:p>
            <w:pPr>
              <w:pStyle w:val="5"/>
              <w:spacing w:before="83"/>
              <w:ind w:left="1883" w:right="1870"/>
              <w:jc w:val="center"/>
              <w:rPr>
                <w:sz w:val="18"/>
              </w:rPr>
            </w:pPr>
            <w:r>
              <w:rPr>
                <w:color w:val="231F20"/>
                <w:sz w:val="18"/>
              </w:rPr>
              <w:t>主要内容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42" w:hRule="atLeast"/>
        </w:trPr>
        <w:tc>
          <w:tcPr>
            <w:tcW w:w="837" w:type="dxa"/>
            <w:noWrap w:val="0"/>
            <w:vAlign w:val="top"/>
          </w:tcPr>
          <w:p>
            <w:pPr>
              <w:pStyle w:val="5"/>
              <w:rPr>
                <w:sz w:val="20"/>
              </w:rPr>
            </w:pPr>
          </w:p>
          <w:p>
            <w:pPr>
              <w:pStyle w:val="5"/>
              <w:spacing w:before="3"/>
              <w:rPr>
                <w:sz w:val="13"/>
              </w:rPr>
            </w:pPr>
          </w:p>
          <w:p>
            <w:pPr>
              <w:pStyle w:val="5"/>
              <w:ind w:left="10"/>
              <w:jc w:val="center"/>
              <w:rPr>
                <w:sz w:val="18"/>
              </w:rPr>
            </w:pPr>
            <w:r>
              <w:rPr>
                <w:color w:val="231F20"/>
                <w:w w:val="113"/>
                <w:sz w:val="18"/>
              </w:rPr>
              <w:t>1</w:t>
            </w:r>
          </w:p>
        </w:tc>
        <w:tc>
          <w:tcPr>
            <w:tcW w:w="1886" w:type="dxa"/>
            <w:noWrap w:val="0"/>
            <w:vAlign w:val="top"/>
          </w:tcPr>
          <w:p>
            <w:pPr>
              <w:pStyle w:val="5"/>
              <w:spacing w:before="3"/>
              <w:rPr>
                <w:sz w:val="23"/>
              </w:rPr>
            </w:pPr>
          </w:p>
          <w:p>
            <w:pPr>
              <w:pStyle w:val="5"/>
              <w:spacing w:line="266" w:lineRule="auto"/>
              <w:ind w:left="405" w:right="122" w:hanging="270"/>
              <w:rPr>
                <w:sz w:val="18"/>
              </w:rPr>
            </w:pPr>
            <w:r>
              <w:rPr>
                <w:color w:val="231F20"/>
                <w:sz w:val="18"/>
              </w:rPr>
              <w:t>道路与桥梁工程测量方向</w:t>
            </w:r>
          </w:p>
        </w:tc>
        <w:tc>
          <w:tcPr>
            <w:tcW w:w="5576" w:type="dxa"/>
            <w:noWrap w:val="0"/>
            <w:vAlign w:val="top"/>
          </w:tcPr>
          <w:p>
            <w:pPr>
              <w:pStyle w:val="5"/>
              <w:spacing w:before="16" w:line="280" w:lineRule="atLeast"/>
              <w:ind w:left="74" w:right="58" w:firstLine="187"/>
              <w:rPr>
                <w:sz w:val="18"/>
              </w:rPr>
            </w:pPr>
            <w:r>
              <w:rPr>
                <w:color w:val="231F20"/>
                <w:sz w:val="18"/>
              </w:rPr>
              <w:t>能够熟练使用各种测量仪器，进行公路中线复测及放样，进行水准点的复测与加密，并进行高程放样，根据图纸进行横断面放样，对已完工程进行几何尺寸检测与评定，整理测量结果，编制测量施工资料</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775" w:hRule="atLeast"/>
        </w:trPr>
        <w:tc>
          <w:tcPr>
            <w:tcW w:w="837" w:type="dxa"/>
            <w:noWrap w:val="0"/>
            <w:vAlign w:val="top"/>
          </w:tcPr>
          <w:p>
            <w:pPr>
              <w:pStyle w:val="5"/>
              <w:rPr>
                <w:sz w:val="20"/>
              </w:rPr>
            </w:pPr>
          </w:p>
          <w:p>
            <w:pPr>
              <w:pStyle w:val="5"/>
              <w:rPr>
                <w:sz w:val="20"/>
              </w:rPr>
            </w:pPr>
          </w:p>
          <w:p>
            <w:pPr>
              <w:pStyle w:val="5"/>
              <w:spacing w:before="4"/>
              <w:rPr>
                <w:sz w:val="13"/>
              </w:rPr>
            </w:pPr>
          </w:p>
          <w:p>
            <w:pPr>
              <w:pStyle w:val="5"/>
              <w:ind w:left="10"/>
              <w:jc w:val="center"/>
              <w:rPr>
                <w:sz w:val="18"/>
              </w:rPr>
            </w:pPr>
            <w:r>
              <w:rPr>
                <w:color w:val="231F20"/>
                <w:w w:val="113"/>
                <w:sz w:val="18"/>
              </w:rPr>
              <w:t>2</w:t>
            </w:r>
          </w:p>
        </w:tc>
        <w:tc>
          <w:tcPr>
            <w:tcW w:w="1886" w:type="dxa"/>
            <w:noWrap w:val="0"/>
            <w:vAlign w:val="top"/>
          </w:tcPr>
          <w:p>
            <w:pPr>
              <w:pStyle w:val="5"/>
              <w:rPr>
                <w:sz w:val="20"/>
              </w:rPr>
            </w:pPr>
          </w:p>
          <w:p>
            <w:pPr>
              <w:pStyle w:val="5"/>
              <w:spacing w:before="3"/>
              <w:rPr>
                <w:sz w:val="23"/>
              </w:rPr>
            </w:pPr>
          </w:p>
          <w:p>
            <w:pPr>
              <w:pStyle w:val="5"/>
              <w:spacing w:before="1" w:line="266" w:lineRule="auto"/>
              <w:ind w:left="405" w:right="122" w:hanging="270"/>
              <w:rPr>
                <w:sz w:val="18"/>
              </w:rPr>
            </w:pPr>
            <w:r>
              <w:rPr>
                <w:color w:val="231F20"/>
                <w:sz w:val="18"/>
              </w:rPr>
              <w:t>道路与桥梁试验检测方向</w:t>
            </w:r>
          </w:p>
        </w:tc>
        <w:tc>
          <w:tcPr>
            <w:tcW w:w="5576" w:type="dxa"/>
            <w:noWrap w:val="0"/>
            <w:vAlign w:val="top"/>
          </w:tcPr>
          <w:p>
            <w:pPr>
              <w:pStyle w:val="5"/>
              <w:spacing w:before="17" w:line="280" w:lineRule="atLeast"/>
              <w:ind w:left="74" w:right="-29" w:firstLine="187"/>
              <w:rPr>
                <w:sz w:val="18"/>
              </w:rPr>
            </w:pPr>
            <w:r>
              <w:rPr>
                <w:color w:val="231F20"/>
                <w:sz w:val="18"/>
              </w:rPr>
              <w:t>熟悉土工、集料、钢筋、无机结合料、水泥及水泥混</w:t>
            </w:r>
            <w:r>
              <w:rPr>
                <w:color w:val="231F20"/>
                <w:spacing w:val="-3"/>
                <w:sz w:val="18"/>
              </w:rPr>
              <w:t xml:space="preserve">凝土、沥青及沥青混合料等试验规程；采集代表性试样； </w:t>
            </w:r>
            <w:r>
              <w:rPr>
                <w:color w:val="231F20"/>
                <w:spacing w:val="-1"/>
                <w:sz w:val="18"/>
              </w:rPr>
              <w:t>正确选择仪器，并根据试验规程完成各种试验；对试验</w:t>
            </w:r>
            <w:r>
              <w:rPr>
                <w:color w:val="231F20"/>
                <w:spacing w:val="-6"/>
                <w:sz w:val="18"/>
              </w:rPr>
              <w:t xml:space="preserve">数据进行正确记录、计算、分析处理，填写试验报告单； </w:t>
            </w:r>
            <w:r>
              <w:rPr>
                <w:color w:val="231F20"/>
                <w:sz w:val="18"/>
              </w:rPr>
              <w:t>对已完工程进行质量检测与评定；整理检测结果，编制质量检测资料</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012" w:hRule="atLeast"/>
        </w:trPr>
        <w:tc>
          <w:tcPr>
            <w:tcW w:w="837" w:type="dxa"/>
            <w:noWrap w:val="0"/>
            <w:vAlign w:val="top"/>
          </w:tcPr>
          <w:p>
            <w:pPr>
              <w:pStyle w:val="5"/>
              <w:rPr>
                <w:sz w:val="20"/>
              </w:rPr>
            </w:pPr>
          </w:p>
          <w:p>
            <w:pPr>
              <w:pStyle w:val="5"/>
              <w:rPr>
                <w:sz w:val="20"/>
              </w:rPr>
            </w:pPr>
          </w:p>
          <w:p>
            <w:pPr>
              <w:pStyle w:val="5"/>
              <w:spacing w:before="4"/>
              <w:rPr>
                <w:sz w:val="23"/>
              </w:rPr>
            </w:pPr>
          </w:p>
          <w:p>
            <w:pPr>
              <w:pStyle w:val="5"/>
              <w:ind w:left="9"/>
              <w:jc w:val="center"/>
              <w:rPr>
                <w:sz w:val="18"/>
              </w:rPr>
            </w:pPr>
            <w:r>
              <w:rPr>
                <w:color w:val="231F20"/>
                <w:w w:val="112"/>
                <w:sz w:val="18"/>
              </w:rPr>
              <w:t>3</w:t>
            </w:r>
          </w:p>
        </w:tc>
        <w:tc>
          <w:tcPr>
            <w:tcW w:w="1886" w:type="dxa"/>
            <w:noWrap w:val="0"/>
            <w:vAlign w:val="top"/>
          </w:tcPr>
          <w:p>
            <w:pPr>
              <w:pStyle w:val="5"/>
              <w:rPr>
                <w:sz w:val="20"/>
              </w:rPr>
            </w:pPr>
          </w:p>
          <w:p>
            <w:pPr>
              <w:pStyle w:val="5"/>
              <w:rPr>
                <w:sz w:val="20"/>
              </w:rPr>
            </w:pPr>
          </w:p>
          <w:p>
            <w:pPr>
              <w:pStyle w:val="5"/>
              <w:spacing w:before="4"/>
              <w:rPr>
                <w:sz w:val="13"/>
              </w:rPr>
            </w:pPr>
          </w:p>
          <w:p>
            <w:pPr>
              <w:pStyle w:val="5"/>
              <w:spacing w:line="266" w:lineRule="auto"/>
              <w:ind w:left="585" w:right="122" w:hanging="450"/>
              <w:rPr>
                <w:sz w:val="18"/>
              </w:rPr>
            </w:pPr>
            <w:r>
              <w:rPr>
                <w:color w:val="231F20"/>
                <w:sz w:val="18"/>
              </w:rPr>
              <w:t>道路与桥梁施工方向</w:t>
            </w:r>
          </w:p>
        </w:tc>
        <w:tc>
          <w:tcPr>
            <w:tcW w:w="5576" w:type="dxa"/>
            <w:noWrap w:val="0"/>
            <w:vAlign w:val="top"/>
          </w:tcPr>
          <w:p>
            <w:pPr>
              <w:pStyle w:val="5"/>
              <w:spacing w:before="17" w:line="280" w:lineRule="atLeast"/>
              <w:ind w:left="74" w:right="-29" w:firstLine="187"/>
              <w:rPr>
                <w:sz w:val="18"/>
              </w:rPr>
            </w:pPr>
            <w:r>
              <w:rPr>
                <w:color w:val="231F20"/>
                <w:sz w:val="18"/>
              </w:rPr>
              <w:t>学习公路工程设计图纸，参加技术交底会议，并向施</w:t>
            </w:r>
            <w:r>
              <w:rPr>
                <w:color w:val="231F20"/>
                <w:spacing w:val="-5"/>
                <w:sz w:val="18"/>
              </w:rPr>
              <w:t xml:space="preserve">工队进行技术交底；熟悉人工、机械、材料的技术指标， </w:t>
            </w:r>
            <w:r>
              <w:rPr>
                <w:color w:val="231F20"/>
                <w:spacing w:val="-3"/>
                <w:sz w:val="18"/>
              </w:rPr>
              <w:t>并计算其用量；熟读施工规范并指导施工作业；熟悉公</w:t>
            </w:r>
            <w:r>
              <w:rPr>
                <w:color w:val="231F20"/>
                <w:sz w:val="18"/>
              </w:rPr>
              <w:t>路工程的工艺流程及各工序施工要点，并组织施工；熟</w:t>
            </w:r>
            <w:r>
              <w:rPr>
                <w:color w:val="231F20"/>
                <w:spacing w:val="-1"/>
                <w:sz w:val="18"/>
              </w:rPr>
              <w:t>悉分部、分项工程各项控制指标，在工程中运用；掌握质量验收标准，能协助进行工程竣工验收；根据竣工验收各项检测指标，判定工程质量</w:t>
            </w:r>
          </w:p>
        </w:tc>
      </w:tr>
    </w:tbl>
    <w:p>
      <w:pPr>
        <w:pageBreakBefore w:val="0"/>
        <w:numPr>
          <w:ilvl w:val="0"/>
          <w:numId w:val="0"/>
        </w:numPr>
        <w:kinsoku/>
        <w:wordWrap/>
        <w:overflowPunct/>
        <w:topLinePunct w:val="0"/>
        <w:autoSpaceDE/>
        <w:bidi w:val="0"/>
        <w:spacing w:line="600" w:lineRule="exact"/>
        <w:rPr>
          <w:rFonts w:hint="eastAsia" w:ascii="宋体" w:hAnsi="宋体" w:cs="宋体"/>
          <w:sz w:val="24"/>
          <w:szCs w:val="24"/>
          <w:lang w:eastAsia="zh-CN"/>
        </w:rPr>
      </w:pPr>
    </w:p>
    <w:p>
      <w:pPr>
        <w:pageBreakBefore w:val="0"/>
        <w:numPr>
          <w:ilvl w:val="0"/>
          <w:numId w:val="0"/>
        </w:numPr>
        <w:kinsoku/>
        <w:wordWrap/>
        <w:overflowPunct/>
        <w:topLinePunct w:val="0"/>
        <w:autoSpaceDE/>
        <w:bidi w:val="0"/>
        <w:spacing w:line="600" w:lineRule="exact"/>
        <w:rPr>
          <w:rFonts w:hint="eastAsia" w:ascii="宋体" w:hAnsi="宋体" w:eastAsia="宋体" w:cs="宋体"/>
          <w:sz w:val="24"/>
          <w:szCs w:val="24"/>
        </w:rPr>
      </w:pPr>
      <w:r>
        <w:rPr>
          <w:rFonts w:hint="eastAsia" w:ascii="宋体" w:hAnsi="宋体" w:cs="宋体"/>
          <w:sz w:val="24"/>
          <w:szCs w:val="24"/>
          <w:lang w:eastAsia="zh-CN"/>
        </w:rPr>
        <w:t>（三）</w:t>
      </w:r>
      <w:r>
        <w:rPr>
          <w:rFonts w:hint="eastAsia" w:ascii="宋体" w:hAnsi="宋体" w:eastAsia="宋体" w:cs="宋体"/>
          <w:sz w:val="24"/>
          <w:szCs w:val="24"/>
        </w:rPr>
        <w:t>“双师”结构教学团队建设与保障</w:t>
      </w:r>
    </w:p>
    <w:p>
      <w:pPr>
        <w:spacing w:line="48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1.“双师”结构教学团队建设</w:t>
      </w:r>
    </w:p>
    <w:p>
      <w:pPr>
        <w:spacing w:line="48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根据职业教育教学改革与建设专业的需要，按照培养标准，“双师”教师比例要达到专业教师总数的</w:t>
      </w:r>
      <w:r>
        <w:rPr>
          <w:rFonts w:hint="eastAsia" w:ascii="宋体" w:hAnsi="宋体" w:cs="宋体"/>
          <w:sz w:val="24"/>
          <w:szCs w:val="24"/>
          <w:lang w:val="en-US" w:eastAsia="zh-CN"/>
        </w:rPr>
        <w:t>20</w:t>
      </w:r>
      <w:r>
        <w:rPr>
          <w:rFonts w:hint="eastAsia" w:ascii="宋体" w:hAnsi="宋体" w:eastAsia="宋体" w:cs="宋体"/>
          <w:sz w:val="24"/>
          <w:szCs w:val="24"/>
        </w:rPr>
        <w:t>％以上，具备“双师”教育教学资格，胜任“双师”教育教学工作，取得良好工作效果。</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通过集中支持和重点培养等方法，培养一支具备良好的师德师风、教书育人素质，既有理论又能实践，既能从事中职教育教学，又能从事在职员工培训，既肯刻苦学习专业前沿技术，又富于改革创新精神，既搞教学又搞科研的“双师型”骨干教师队伍。</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③善于接受新信息、新知识、新观念，不断更新自身的知识体系和能力结构，具备良好的创新精神、创新意识，善于组织、指导学生开展创造性的活动。</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④具备良好的班级管理、教学管理能力，在教育、教学和教学研究活动中表现优异，了解企业行业管理制度，并具备指导学生参与企业、行业生产实习的能力。</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2.教师职业教育教学能力要求</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⑴应具备</w:t>
      </w:r>
      <w:r>
        <w:rPr>
          <w:rFonts w:hint="eastAsia" w:ascii="宋体" w:hAnsi="宋体" w:cs="宋体"/>
          <w:sz w:val="24"/>
          <w:szCs w:val="24"/>
          <w:lang w:eastAsia="zh-CN"/>
        </w:rPr>
        <w:t>道路与桥梁工程施工</w:t>
      </w:r>
      <w:r>
        <w:rPr>
          <w:rFonts w:hint="eastAsia" w:ascii="宋体" w:hAnsi="宋体" w:eastAsia="宋体" w:cs="宋体"/>
          <w:sz w:val="24"/>
          <w:szCs w:val="24"/>
        </w:rPr>
        <w:t>专业相关专业知识和教育知识；</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⑵具有能结合课程教学并根据学生思想品德和职业道德形成的特点进行教学管理。</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⑶应具有良好的职业素质</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⑷能在教育教学工作中具有教科研进行探索和研究，创新教学，不断提高自身专业素质。</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⑸具有双师型教师能力，应用现代教育技术手段实施教学。</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⑹应具备根据培养目标设计教学目标和教学计划，有效实施教学。</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⑺专任教师应具备“双师”素质，具有实践操作能力、实践指导能力。</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⑻能应用现代教育技术手段实施教学。</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⑴专职教师的职责：</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①要以高度的责任心，全面负责学生的德育、学习、生活、健康、安全等工作，努力培养实习生的独立工作能力及职业道德，帮助实习生顺利完成实习任务。</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②配合实习单位加强对学生法制教育、行为规范教育和劳动纪律教育、安全生产教育、自救自护及心理健康等方面教育，提高学生遵纪守法、安全健康和自我保护及社会适应能力。</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③要针对学生在实习过程中的表现，通过开展各种活动，减轻学生因从学生向员工身份的转变而产生的身心压力，保证学生实习工作的稳定。</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④要加强与学院及学生家长的沟通联系，及时协调解决学生在工作、生活、学习中出现的困难、要求和问题。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⑤与实习单位结合，按照教学计划和教育目标对实践生做好生产实习</w:t>
      </w:r>
      <w:r>
        <w:rPr>
          <w:rFonts w:hint="eastAsia" w:ascii="宋体" w:hAnsi="宋体" w:eastAsia="宋体" w:cs="宋体"/>
          <w:color w:val="auto"/>
          <w:sz w:val="24"/>
          <w:szCs w:val="24"/>
          <w:highlight w:val="none"/>
        </w:rPr>
        <w:t>及日常行为的全面评价考核工作。</w:t>
      </w:r>
    </w:p>
    <w:p>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在教学团队保障方面，根据专业建设和教学过程的需要，在学院团队建设政策的大力支持下，组建了结构合理、实力雄厚的教学团队，承担</w:t>
      </w:r>
      <w:r>
        <w:rPr>
          <w:rFonts w:hint="eastAsia" w:ascii="宋体" w:hAnsi="宋体" w:cs="宋体"/>
          <w:sz w:val="24"/>
          <w:szCs w:val="24"/>
          <w:lang w:eastAsia="zh-CN"/>
        </w:rPr>
        <w:t>道路与桥梁工程施工</w:t>
      </w:r>
      <w:r>
        <w:rPr>
          <w:rFonts w:hint="eastAsia" w:ascii="宋体" w:hAnsi="宋体" w:eastAsia="宋体" w:cs="宋体"/>
          <w:sz w:val="24"/>
          <w:szCs w:val="24"/>
          <w:lang w:val="en-US" w:eastAsia="zh-CN"/>
        </w:rPr>
        <w:t>专业各学习领域的知识、技能传播任务，完成教、学、做一体化教学的组织和实施，实现技能应用型人才的培养。安排具有丰富的实际工作经验的高级职称人员，承担本专业的专业基础课、专业课和实践教学工作；构建起一只年龄结构、职称结构、学历结构、骨干结构、专兼结构比较合理的师资队伍。</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通过上述论证，可以说唐山劳动技师学院开设</w:t>
      </w:r>
      <w:r>
        <w:rPr>
          <w:rFonts w:hint="eastAsia" w:ascii="宋体" w:hAnsi="宋体" w:cs="宋体"/>
          <w:sz w:val="24"/>
          <w:szCs w:val="24"/>
          <w:lang w:eastAsia="zh-CN"/>
        </w:rPr>
        <w:t>道路与桥梁工程施工</w:t>
      </w:r>
      <w:r>
        <w:rPr>
          <w:rFonts w:hint="eastAsia" w:ascii="宋体" w:hAnsi="宋体" w:eastAsia="宋体" w:cs="宋体"/>
          <w:sz w:val="24"/>
          <w:szCs w:val="24"/>
          <w:lang w:val="en-US" w:eastAsia="zh-CN"/>
        </w:rPr>
        <w:t>专业符合区域经济的发展需求，也符合行业对技能型人才的迫切需要，因此，该项目开发与建设成为必要与可行。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9BC5F"/>
    <w:multiLevelType w:val="singleLevel"/>
    <w:tmpl w:val="BFF9BC5F"/>
    <w:lvl w:ilvl="0" w:tentative="0">
      <w:start w:val="1"/>
      <w:numFmt w:val="chineseCounting"/>
      <w:suff w:val="nothing"/>
      <w:lvlText w:val="%1．"/>
      <w:lvlJc w:val="left"/>
      <w:rPr>
        <w:rFonts w:hint="eastAsia"/>
      </w:rPr>
    </w:lvl>
  </w:abstractNum>
  <w:abstractNum w:abstractNumId="1">
    <w:nsid w:val="793E839A"/>
    <w:multiLevelType w:val="singleLevel"/>
    <w:tmpl w:val="793E839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512F6"/>
    <w:rsid w:val="3AD0775D"/>
    <w:rsid w:val="3EC512F6"/>
    <w:rsid w:val="44063F2E"/>
    <w:rsid w:val="4BD7109E"/>
    <w:rsid w:val="4CFB3A27"/>
    <w:rsid w:val="55CA664C"/>
    <w:rsid w:val="75B55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Table Paragraph"/>
    <w:basedOn w:val="1"/>
    <w:qFormat/>
    <w:uiPriority w:val="1"/>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2021-11-02T13:44:00Z</dcterms:created>
  <dc:creator>ma ling</dc:creator>
  <cp:lastModifiedBy>冰天雪地</cp:lastModifiedBy>
  <dcterms:modified xsi:type="dcterms:W3CDTF">2021-11-04T01:49:07Z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28D290CC38A24055B54969C9C9695A91</vt:lpwstr>
  </property>
</Properties>
</file>